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591" w:rsidRPr="007E5B73" w:rsidRDefault="00345591" w:rsidP="008A0C12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rPr>
          <w:rFonts w:ascii="Adagio_Slab" w:hAnsi="Adagio_Slab"/>
          <w:sz w:val="20"/>
          <w:szCs w:val="20"/>
        </w:rPr>
      </w:pPr>
      <w:r w:rsidRPr="007E5B73">
        <w:rPr>
          <w:rFonts w:ascii="Adagio_Slab" w:hAnsi="Adagio_Slab"/>
          <w:sz w:val="20"/>
          <w:szCs w:val="20"/>
        </w:rPr>
        <w:t xml:space="preserve">Warszawa, dnia </w:t>
      </w:r>
      <w:r w:rsidR="00BD460A">
        <w:rPr>
          <w:rFonts w:ascii="Adagio_Slab" w:hAnsi="Adagio_Slab"/>
          <w:sz w:val="20"/>
          <w:szCs w:val="20"/>
        </w:rPr>
        <w:t>16</w:t>
      </w:r>
      <w:bookmarkStart w:id="0" w:name="_GoBack"/>
      <w:bookmarkEnd w:id="0"/>
      <w:r w:rsidRPr="007E5B73">
        <w:rPr>
          <w:rFonts w:ascii="Adagio_Slab" w:hAnsi="Adagio_Slab"/>
          <w:sz w:val="20"/>
          <w:szCs w:val="20"/>
        </w:rPr>
        <w:t>.09.2020 r.</w:t>
      </w:r>
    </w:p>
    <w:p w:rsidR="00345591" w:rsidRPr="007E5B73" w:rsidRDefault="00345591" w:rsidP="00345591">
      <w:pPr>
        <w:spacing w:after="0" w:line="240" w:lineRule="auto"/>
        <w:rPr>
          <w:rFonts w:ascii="Adagio_Slab" w:eastAsia="Calibri" w:hAnsi="Adagio_Slab"/>
          <w:color w:val="0000FF"/>
          <w:sz w:val="20"/>
          <w:szCs w:val="20"/>
        </w:rPr>
      </w:pPr>
    </w:p>
    <w:p w:rsidR="00345591" w:rsidRPr="007E5B73" w:rsidRDefault="00345591" w:rsidP="00345591">
      <w:pPr>
        <w:spacing w:after="0" w:line="240" w:lineRule="auto"/>
        <w:rPr>
          <w:rFonts w:ascii="Adagio_Slab" w:hAnsi="Adagio_Slab"/>
          <w:color w:val="000000"/>
          <w:sz w:val="20"/>
          <w:szCs w:val="20"/>
        </w:rPr>
      </w:pPr>
      <w:r w:rsidRPr="007E5B73">
        <w:rPr>
          <w:rFonts w:ascii="Adagio_Slab" w:eastAsia="Calibri" w:hAnsi="Adagio_Slab"/>
          <w:color w:val="0000FF"/>
          <w:sz w:val="20"/>
          <w:szCs w:val="20"/>
        </w:rPr>
        <w:t>oznaczenie sprawy 57-1132-2020</w:t>
      </w:r>
    </w:p>
    <w:p w:rsidR="00345591" w:rsidRPr="007E5B73" w:rsidRDefault="00345591" w:rsidP="00345591">
      <w:pPr>
        <w:widowControl w:val="0"/>
        <w:autoSpaceDE w:val="0"/>
        <w:autoSpaceDN w:val="0"/>
        <w:adjustRightInd w:val="0"/>
        <w:spacing w:after="0" w:line="240" w:lineRule="auto"/>
        <w:rPr>
          <w:rFonts w:ascii="Adagio_Slab" w:hAnsi="Adagio_Slab"/>
          <w:b/>
          <w:color w:val="0000FF"/>
          <w:sz w:val="20"/>
          <w:szCs w:val="20"/>
          <w:lang w:eastAsia="ar-SA"/>
        </w:rPr>
      </w:pPr>
    </w:p>
    <w:p w:rsidR="00345591" w:rsidRPr="007E5B73" w:rsidRDefault="00345591" w:rsidP="008A0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dagio_Slab" w:hAnsi="Adagio_Slab"/>
          <w:color w:val="0000FF"/>
          <w:sz w:val="20"/>
          <w:szCs w:val="20"/>
        </w:rPr>
      </w:pPr>
      <w:r w:rsidRPr="007E5B73">
        <w:rPr>
          <w:rFonts w:ascii="Adagio_Slab" w:hAnsi="Adagio_Slab"/>
          <w:b/>
          <w:color w:val="0000FF"/>
          <w:sz w:val="20"/>
          <w:szCs w:val="20"/>
          <w:lang w:eastAsia="ar-SA"/>
        </w:rPr>
        <w:t>Dostawa naziemnego stanowiska do badań nowych (bezemisyjnych, hybrydowych</w:t>
      </w:r>
      <w:r w:rsidR="008A0C12" w:rsidRPr="007E5B73">
        <w:rPr>
          <w:rFonts w:ascii="Adagio_Slab" w:hAnsi="Adagio_Slab"/>
          <w:b/>
          <w:color w:val="0000FF"/>
          <w:sz w:val="20"/>
          <w:szCs w:val="20"/>
          <w:lang w:eastAsia="ar-SA"/>
        </w:rPr>
        <w:t xml:space="preserve">                </w:t>
      </w:r>
      <w:r w:rsidRPr="007E5B73">
        <w:rPr>
          <w:rFonts w:ascii="Adagio_Slab" w:hAnsi="Adagio_Slab"/>
          <w:b/>
          <w:color w:val="0000FF"/>
          <w:sz w:val="20"/>
          <w:szCs w:val="20"/>
          <w:lang w:eastAsia="ar-SA"/>
        </w:rPr>
        <w:t xml:space="preserve"> i innych) zespołów napędowych na potrzeby  realizacji projektu pt. „Terenowy poligon doświadczalno-wdrożeniowy w powiecie przasnyskim” RPMA.01.01.00-14-9875/17</w:t>
      </w:r>
      <w:r w:rsidRPr="007E5B73">
        <w:rPr>
          <w:rFonts w:ascii="Adagio_Slab" w:hAnsi="Adagio_Slab"/>
          <w:b/>
          <w:color w:val="0000FF"/>
          <w:sz w:val="20"/>
          <w:szCs w:val="20"/>
        </w:rPr>
        <w:t>dla Instytutu Techniki Lotniczej i Mechaniki Stosowanej Wydziału Mechanicznego Energetyki i Lotnictwa Politechniki Warszawskiej</w:t>
      </w:r>
    </w:p>
    <w:p w:rsidR="005E0D87" w:rsidRPr="007E5B73" w:rsidRDefault="005E0D87" w:rsidP="008A0C12">
      <w:pPr>
        <w:jc w:val="both"/>
        <w:rPr>
          <w:rFonts w:ascii="Adagio_Slab" w:hAnsi="Adagio_Slab"/>
          <w:sz w:val="20"/>
          <w:szCs w:val="20"/>
        </w:rPr>
      </w:pPr>
    </w:p>
    <w:p w:rsidR="00345591" w:rsidRPr="007E5B73" w:rsidRDefault="00345591" w:rsidP="00345591">
      <w:pPr>
        <w:jc w:val="center"/>
        <w:rPr>
          <w:rFonts w:ascii="Adagio_Slab" w:hAnsi="Adagio_Slab"/>
          <w:sz w:val="20"/>
          <w:szCs w:val="20"/>
        </w:rPr>
      </w:pPr>
      <w:r w:rsidRPr="007E5B73">
        <w:rPr>
          <w:rFonts w:ascii="Adagio_Slab" w:hAnsi="Adagio_Slab"/>
          <w:sz w:val="20"/>
          <w:szCs w:val="20"/>
        </w:rPr>
        <w:t>Odpowiedz na zapytanie nr 2</w:t>
      </w:r>
    </w:p>
    <w:p w:rsidR="005E0D87" w:rsidRPr="007E5B73" w:rsidRDefault="005E0D87" w:rsidP="00097120">
      <w:pPr>
        <w:rPr>
          <w:rFonts w:ascii="Adagio_Slab" w:hAnsi="Adagio_Slab"/>
          <w:sz w:val="20"/>
          <w:szCs w:val="20"/>
        </w:rPr>
      </w:pPr>
    </w:p>
    <w:p w:rsidR="00345591" w:rsidRPr="007E5B73" w:rsidRDefault="00DD3CA6" w:rsidP="00097120">
      <w:pPr>
        <w:rPr>
          <w:rFonts w:ascii="Adagio_Slab" w:hAnsi="Adagio_Slab"/>
          <w:sz w:val="20"/>
          <w:szCs w:val="20"/>
        </w:rPr>
      </w:pPr>
      <w:r w:rsidRPr="007E5B73">
        <w:rPr>
          <w:rFonts w:ascii="Adagio_Slab" w:hAnsi="Adagio_Slab"/>
          <w:sz w:val="20"/>
          <w:szCs w:val="20"/>
        </w:rPr>
        <w:t xml:space="preserve">Dzień dobry, zwracam się z prośba o udzielenie odpowiedzi na poniższe pytania: </w:t>
      </w:r>
    </w:p>
    <w:p w:rsidR="00345591" w:rsidRPr="00ED1CEF" w:rsidRDefault="00DD3CA6" w:rsidP="00ED1CEF">
      <w:pPr>
        <w:pStyle w:val="Akapitzlist"/>
        <w:numPr>
          <w:ilvl w:val="0"/>
          <w:numId w:val="1"/>
        </w:numPr>
        <w:rPr>
          <w:rFonts w:ascii="Adagio_Slab" w:hAnsi="Adagio_Slab"/>
          <w:sz w:val="20"/>
          <w:szCs w:val="20"/>
        </w:rPr>
      </w:pPr>
      <w:r w:rsidRPr="00ED1CEF">
        <w:rPr>
          <w:rFonts w:ascii="Adagio_Slab" w:hAnsi="Adagio_Slab"/>
          <w:sz w:val="20"/>
          <w:szCs w:val="20"/>
        </w:rPr>
        <w:t xml:space="preserve">Czy symulator baterii może być realizowany poprzez układ przekształcania energii elektrycznej zasilany lokalnie, z sieci? </w:t>
      </w:r>
    </w:p>
    <w:p w:rsidR="00ED1CEF" w:rsidRPr="00ED1CEF" w:rsidRDefault="00ED1CEF" w:rsidP="00ED1CEF">
      <w:pPr>
        <w:rPr>
          <w:color w:val="00B0F0"/>
        </w:rPr>
      </w:pPr>
      <w:r w:rsidRPr="00ED1CEF">
        <w:rPr>
          <w:rFonts w:ascii="Adagio_Slab" w:hAnsi="Adagio_Slab"/>
          <w:color w:val="00B0F0"/>
          <w:sz w:val="20"/>
          <w:szCs w:val="20"/>
        </w:rPr>
        <w:t>Odp.:</w:t>
      </w:r>
      <w:r w:rsidRPr="00ED1CEF">
        <w:rPr>
          <w:color w:val="00B0F0"/>
        </w:rPr>
        <w:t xml:space="preserve"> </w:t>
      </w:r>
      <w:r w:rsidRPr="00ED1CEF">
        <w:rPr>
          <w:color w:val="00B0F0"/>
        </w:rPr>
        <w:t>Tak.</w:t>
      </w:r>
    </w:p>
    <w:p w:rsidR="00345591" w:rsidRPr="00ED1CEF" w:rsidRDefault="00DD3CA6" w:rsidP="00ED1CEF">
      <w:pPr>
        <w:pStyle w:val="Akapitzlist"/>
        <w:numPr>
          <w:ilvl w:val="0"/>
          <w:numId w:val="1"/>
        </w:numPr>
        <w:rPr>
          <w:rFonts w:ascii="Adagio_Slab" w:hAnsi="Adagio_Slab"/>
          <w:sz w:val="20"/>
          <w:szCs w:val="20"/>
        </w:rPr>
      </w:pPr>
      <w:r w:rsidRPr="00ED1CEF">
        <w:rPr>
          <w:rFonts w:ascii="Adagio_Slab" w:hAnsi="Adagio_Slab"/>
          <w:sz w:val="20"/>
          <w:szCs w:val="20"/>
        </w:rPr>
        <w:t xml:space="preserve">Proszę rozwinąć z jakich elementów ma składać się symulator baterii. </w:t>
      </w:r>
    </w:p>
    <w:p w:rsidR="00ED1CEF" w:rsidRPr="00ED1CEF" w:rsidRDefault="00ED1CEF" w:rsidP="00ED1CEF">
      <w:pPr>
        <w:rPr>
          <w:color w:val="00B0F0"/>
        </w:rPr>
      </w:pPr>
      <w:r w:rsidRPr="00ED1CEF">
        <w:rPr>
          <w:rFonts w:ascii="Adagio_Slab" w:hAnsi="Adagio_Slab"/>
          <w:color w:val="00B0F0"/>
          <w:sz w:val="20"/>
          <w:szCs w:val="20"/>
        </w:rPr>
        <w:t xml:space="preserve">Odp.: </w:t>
      </w:r>
      <w:r w:rsidRPr="00ED1CEF">
        <w:rPr>
          <w:color w:val="00B0F0"/>
        </w:rPr>
        <w:t xml:space="preserve">Jeśli chodzi o obwód silnoprądowy to może to być prostownik trójfazowy diodowy zasilany z sieci elektroenergetycznej w filtrem pojemnościowym, następnie jest układ energoelektroniczny o dwukierunkowym przepływie energii symulujący pracę baterii (np. DC/DC interleaved bidirectional converter) obniżający to napięcie  uzyskane z prostownika do zakresu odpowiadającego zakresowi  napięć symulowanej baterii z filtrem pojemnościowym na wyjściu i do tego obwodu wyjściowego podłączany jest kolejny przekształtnik DC/DC obsługujący baterię. W przypadku zwrotu </w:t>
      </w:r>
      <w:r w:rsidRPr="00ED1CEF">
        <w:rPr>
          <w:color w:val="00B0F0"/>
        </w:rPr>
        <w:br/>
        <w:t xml:space="preserve">energii do baterii należy rozproszyć tę energię na banku obciążeń rezystancyjnych podłączonych do zacisków wyjściowych prostownika sieciowego (do filtru pojemnościowego tego prostownika). Bank obciążeń rezystancyjnych jest sterowany elektronicznie szybkim łącznikiem w celu regulacji poziomu </w:t>
      </w:r>
      <w:r w:rsidRPr="00ED1CEF">
        <w:rPr>
          <w:color w:val="00B0F0"/>
        </w:rPr>
        <w:br/>
        <w:t xml:space="preserve">napięcia na filtrze w przypadku zwrotu energii, żeby nie doprowadzić do przeładowania filtru. To jest oczywiście jeden z możliwych wariantów. </w:t>
      </w:r>
      <w:r w:rsidRPr="00ED1CEF">
        <w:rPr>
          <w:color w:val="00B0F0"/>
        </w:rPr>
        <w:br/>
        <w:t xml:space="preserve">Symulator musi umożliwiać symulowanie różnych rodzajów baterii oraz zmienianie/modyfikowanie ich symulowanych charakterystyk </w:t>
      </w:r>
    </w:p>
    <w:p w:rsidR="00ED1CEF" w:rsidRPr="00ED1CEF" w:rsidRDefault="00ED1CEF" w:rsidP="00ED1CEF">
      <w:pPr>
        <w:pStyle w:val="Akapitzlist"/>
        <w:rPr>
          <w:rFonts w:ascii="Adagio_Slab" w:hAnsi="Adagio_Slab"/>
          <w:sz w:val="20"/>
          <w:szCs w:val="20"/>
        </w:rPr>
      </w:pPr>
    </w:p>
    <w:p w:rsidR="00345591" w:rsidRPr="00ED1CEF" w:rsidRDefault="00DD3CA6" w:rsidP="00ED1CEF">
      <w:pPr>
        <w:pStyle w:val="Akapitzlist"/>
        <w:numPr>
          <w:ilvl w:val="0"/>
          <w:numId w:val="1"/>
        </w:numPr>
        <w:rPr>
          <w:rFonts w:ascii="Adagio_Slab" w:hAnsi="Adagio_Slab"/>
          <w:sz w:val="20"/>
          <w:szCs w:val="20"/>
        </w:rPr>
      </w:pPr>
      <w:r w:rsidRPr="00ED1CEF">
        <w:rPr>
          <w:rFonts w:ascii="Adagio_Slab" w:hAnsi="Adagio_Slab"/>
          <w:sz w:val="20"/>
          <w:szCs w:val="20"/>
        </w:rPr>
        <w:lastRenderedPageBreak/>
        <w:t xml:space="preserve">Czy posiadają Państwo na obiekcie testowym dostęp do energii elektrycznej o wydajności umożliwiającej zasilenie symulatora baterii? </w:t>
      </w:r>
    </w:p>
    <w:p w:rsidR="00ED1CEF" w:rsidRPr="00ED1CEF" w:rsidRDefault="00ED1CEF" w:rsidP="00ED1CEF">
      <w:pPr>
        <w:rPr>
          <w:rFonts w:ascii="Adagio_Slab" w:hAnsi="Adagio_Slab"/>
          <w:color w:val="00B0F0"/>
          <w:sz w:val="20"/>
          <w:szCs w:val="20"/>
        </w:rPr>
      </w:pPr>
      <w:r w:rsidRPr="00ED1CEF">
        <w:rPr>
          <w:rFonts w:ascii="Adagio_Slab" w:hAnsi="Adagio_Slab"/>
          <w:color w:val="00B0F0"/>
          <w:sz w:val="20"/>
          <w:szCs w:val="20"/>
        </w:rPr>
        <w:t>Odp.: Tak</w:t>
      </w:r>
    </w:p>
    <w:p w:rsidR="00345591" w:rsidRPr="00ED1CEF" w:rsidRDefault="00DD3CA6" w:rsidP="00ED1CEF">
      <w:pPr>
        <w:pStyle w:val="Akapitzlist"/>
        <w:numPr>
          <w:ilvl w:val="0"/>
          <w:numId w:val="1"/>
        </w:numPr>
        <w:rPr>
          <w:rFonts w:ascii="Adagio_Slab" w:hAnsi="Adagio_Slab"/>
          <w:sz w:val="20"/>
          <w:szCs w:val="20"/>
        </w:rPr>
      </w:pPr>
      <w:r w:rsidRPr="00ED1CEF">
        <w:rPr>
          <w:rFonts w:ascii="Adagio_Slab" w:hAnsi="Adagio_Slab"/>
          <w:sz w:val="20"/>
          <w:szCs w:val="20"/>
        </w:rPr>
        <w:t xml:space="preserve">Proszę o rozwinięcie zapisu „automatyczne uruchamianie i wyłączanie stanowiska”. </w:t>
      </w:r>
    </w:p>
    <w:p w:rsidR="00ED1CEF" w:rsidRPr="00D748D0" w:rsidRDefault="00ED1CEF" w:rsidP="00ED1CEF">
      <w:pPr>
        <w:rPr>
          <w:color w:val="00B0F0"/>
        </w:rPr>
      </w:pPr>
      <w:r w:rsidRPr="00ED1CEF">
        <w:rPr>
          <w:rFonts w:ascii="Adagio_Slab" w:hAnsi="Adagio_Slab"/>
          <w:color w:val="00B0F0"/>
          <w:sz w:val="20"/>
          <w:szCs w:val="20"/>
        </w:rPr>
        <w:t xml:space="preserve">Odp.: </w:t>
      </w:r>
      <w:r w:rsidRPr="00D748D0">
        <w:rPr>
          <w:color w:val="00B0F0"/>
        </w:rPr>
        <w:t xml:space="preserve">Uruchomienie i wyłączenie stanowiska powinno się odbywać przy jak najmniejszej liczbie czynności manualnych, najlepiej poprzez włączenie/wyłączenie jednego przełącznika. Z drugiej strony można oczekiwać że uruchomienie np. silnika spalinowego (zwłaszcza w przypadku silnika turbinowego) napędzającego generator może wymagać zrealizowania pewnej procedury kilku/wielu czynności. Ponadto gwałtowne wyłączenie całego stanowiska może doprowadzić do uszkodzenia niektórych jego elementów. W związku z tym może być konieczne wykonanie pewnej sekwencji czynności. </w:t>
      </w:r>
      <w:r>
        <w:rPr>
          <w:color w:val="00B0F0"/>
        </w:rPr>
        <w:t>Jednakże, w</w:t>
      </w:r>
      <w:r w:rsidRPr="00D748D0">
        <w:rPr>
          <w:color w:val="00B0F0"/>
        </w:rPr>
        <w:t>ykonanie tych czynności w sposób prawidłowy, zwłaszcza w sytuacji awaryjnej, może się okazać dla człowieka zbyt trudne. W związku z tym możliwie duża liczba czynności rozruchowych i wyłączeniowych (zwłaszcza standardowych) powinna być zautomatyzowana w celu uproszczenia obsługi stanowiska i zachowania wysokiego poziomu jego bezpieczeństwa.</w:t>
      </w:r>
    </w:p>
    <w:p w:rsidR="00345591" w:rsidRPr="00ED1CEF" w:rsidRDefault="00DD3CA6" w:rsidP="00ED1CEF">
      <w:pPr>
        <w:pStyle w:val="Akapitzlist"/>
        <w:numPr>
          <w:ilvl w:val="0"/>
          <w:numId w:val="1"/>
        </w:numPr>
        <w:rPr>
          <w:rFonts w:ascii="Adagio_Slab" w:hAnsi="Adagio_Slab"/>
          <w:sz w:val="20"/>
          <w:szCs w:val="20"/>
        </w:rPr>
      </w:pPr>
      <w:r w:rsidRPr="00ED1CEF">
        <w:rPr>
          <w:rFonts w:ascii="Adagio_Slab" w:hAnsi="Adagio_Slab"/>
          <w:sz w:val="20"/>
          <w:szCs w:val="20"/>
        </w:rPr>
        <w:t xml:space="preserve">Czy dopuszczają Państwo dostarczenie śmigieł pchających wchodzących w zakres zamówienia o średnicy +/-10% dłuższej lub krótszej? </w:t>
      </w:r>
    </w:p>
    <w:p w:rsidR="00ED1CEF" w:rsidRPr="00D748D0" w:rsidRDefault="00ED1CEF" w:rsidP="00ED1CEF">
      <w:pPr>
        <w:rPr>
          <w:color w:val="00B0F0"/>
        </w:rPr>
      </w:pPr>
      <w:r w:rsidRPr="00ED1CEF">
        <w:rPr>
          <w:rFonts w:ascii="Adagio_Slab" w:hAnsi="Adagio_Slab"/>
          <w:color w:val="00B0F0"/>
          <w:sz w:val="20"/>
          <w:szCs w:val="20"/>
        </w:rPr>
        <w:t xml:space="preserve">Odp.: </w:t>
      </w:r>
      <w:r w:rsidRPr="00ED1CEF">
        <w:rPr>
          <w:color w:val="00B0F0"/>
        </w:rPr>
        <w:t xml:space="preserve">Dopuszczamy </w:t>
      </w:r>
      <w:r>
        <w:rPr>
          <w:color w:val="00B0F0"/>
        </w:rPr>
        <w:t>tolerancję średnicy śmigieł, ale raczej w zakresie +5/-15%.</w:t>
      </w:r>
    </w:p>
    <w:p w:rsidR="00345591" w:rsidRPr="00ED1CEF" w:rsidRDefault="00DD3CA6" w:rsidP="00ED1CEF">
      <w:pPr>
        <w:pStyle w:val="Akapitzlist"/>
        <w:numPr>
          <w:ilvl w:val="0"/>
          <w:numId w:val="1"/>
        </w:numPr>
        <w:rPr>
          <w:rFonts w:ascii="Adagio_Slab" w:hAnsi="Adagio_Slab"/>
          <w:sz w:val="20"/>
          <w:szCs w:val="20"/>
        </w:rPr>
      </w:pPr>
      <w:r w:rsidRPr="00ED1CEF">
        <w:rPr>
          <w:rFonts w:ascii="Adagio_Slab" w:hAnsi="Adagio_Slab"/>
          <w:sz w:val="20"/>
          <w:szCs w:val="20"/>
        </w:rPr>
        <w:t xml:space="preserve">Do jakiego podłoża ma być kotwiczony stelaż urządzenia? </w:t>
      </w:r>
    </w:p>
    <w:p w:rsidR="00ED1CEF" w:rsidRPr="00D748D0" w:rsidRDefault="00ED1CEF" w:rsidP="00ED1CEF">
      <w:pPr>
        <w:rPr>
          <w:color w:val="00B0F0"/>
        </w:rPr>
      </w:pPr>
      <w:r w:rsidRPr="00ED1CEF">
        <w:rPr>
          <w:rFonts w:ascii="Adagio_Slab" w:hAnsi="Adagio_Slab"/>
          <w:color w:val="00B0F0"/>
          <w:sz w:val="20"/>
          <w:szCs w:val="20"/>
        </w:rPr>
        <w:t xml:space="preserve">Odp.: </w:t>
      </w:r>
      <w:r w:rsidRPr="00D748D0">
        <w:rPr>
          <w:color w:val="00B0F0"/>
        </w:rPr>
        <w:t>Do trawiastej nawierzchni lotniska w Przasnyszu.</w:t>
      </w:r>
    </w:p>
    <w:p w:rsidR="005E0D87" w:rsidRPr="007E5B73" w:rsidRDefault="00DD3CA6" w:rsidP="00097120">
      <w:pPr>
        <w:rPr>
          <w:rFonts w:ascii="Adagio_Slab" w:hAnsi="Adagio_Slab"/>
          <w:sz w:val="20"/>
          <w:szCs w:val="20"/>
        </w:rPr>
      </w:pPr>
      <w:r w:rsidRPr="007E5B73">
        <w:rPr>
          <w:rFonts w:ascii="Adagio_Slab" w:hAnsi="Adagio_Slab"/>
          <w:sz w:val="20"/>
          <w:szCs w:val="20"/>
        </w:rPr>
        <w:t>7. Czy udostępnią Państwo model i dokumentację okuć motoszybowca PW-6 (miejsca mocowania przedmiotu zamówienia)?</w:t>
      </w:r>
    </w:p>
    <w:p w:rsidR="00ED1CEF" w:rsidRPr="00D748D0" w:rsidRDefault="00ED1CEF" w:rsidP="00ED1CEF">
      <w:pPr>
        <w:rPr>
          <w:color w:val="00B0F0"/>
        </w:rPr>
      </w:pPr>
      <w:r w:rsidRPr="00ED1CEF">
        <w:rPr>
          <w:rFonts w:ascii="Adagio_Slab" w:hAnsi="Adagio_Slab"/>
          <w:color w:val="00B0F0"/>
          <w:sz w:val="20"/>
          <w:szCs w:val="20"/>
        </w:rPr>
        <w:t xml:space="preserve">Odp.: </w:t>
      </w:r>
      <w:r w:rsidRPr="00ED1CEF">
        <w:rPr>
          <w:color w:val="00B0F0"/>
        </w:rPr>
        <w:t xml:space="preserve">Tak </w:t>
      </w:r>
      <w:r>
        <w:rPr>
          <w:color w:val="00B0F0"/>
        </w:rPr>
        <w:t>– dokumentacja zostanie udostępniona.</w:t>
      </w:r>
    </w:p>
    <w:p w:rsidR="005E0D87" w:rsidRPr="007E5B73" w:rsidRDefault="005E0D87" w:rsidP="00097120">
      <w:pPr>
        <w:rPr>
          <w:rFonts w:ascii="Adagio_Slab" w:hAnsi="Adagio_Slab"/>
          <w:sz w:val="20"/>
          <w:szCs w:val="20"/>
        </w:rPr>
      </w:pPr>
    </w:p>
    <w:p w:rsidR="005E0D87" w:rsidRPr="007E5B73" w:rsidRDefault="005E0D87" w:rsidP="00097120">
      <w:pPr>
        <w:rPr>
          <w:sz w:val="20"/>
          <w:szCs w:val="20"/>
        </w:rPr>
      </w:pPr>
    </w:p>
    <w:p w:rsidR="00972221" w:rsidRPr="00972221" w:rsidRDefault="00972221" w:rsidP="00972221"/>
    <w:p w:rsidR="00972221" w:rsidRPr="00972221" w:rsidRDefault="00972221" w:rsidP="00972221"/>
    <w:p w:rsidR="00972221" w:rsidRPr="00972221" w:rsidRDefault="00972221" w:rsidP="00972221"/>
    <w:p w:rsidR="00972221" w:rsidRPr="00972221" w:rsidRDefault="00972221" w:rsidP="00972221"/>
    <w:p w:rsidR="00972221" w:rsidRPr="00972221" w:rsidRDefault="00972221" w:rsidP="00972221"/>
    <w:p w:rsidR="00972221" w:rsidRPr="00972221" w:rsidRDefault="00972221" w:rsidP="00972221"/>
    <w:p w:rsidR="00972221" w:rsidRDefault="00972221" w:rsidP="00972221"/>
    <w:p w:rsidR="00972221" w:rsidRPr="00972221" w:rsidRDefault="00972221" w:rsidP="00972221">
      <w:pPr>
        <w:tabs>
          <w:tab w:val="left" w:pos="1065"/>
        </w:tabs>
      </w:pPr>
      <w:r>
        <w:tab/>
      </w:r>
    </w:p>
    <w:sectPr w:rsidR="00972221" w:rsidRPr="00972221" w:rsidSect="007E5B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558" w:bottom="624" w:left="1134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AE9" w:rsidRDefault="00D51AE9" w:rsidP="00300F57">
      <w:pPr>
        <w:spacing w:after="0" w:line="240" w:lineRule="auto"/>
      </w:pPr>
      <w:r>
        <w:separator/>
      </w:r>
    </w:p>
  </w:endnote>
  <w:endnote w:type="continuationSeparator" w:id="0">
    <w:p w:rsidR="00D51AE9" w:rsidRDefault="00D51AE9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B73" w:rsidRDefault="007E5B73">
    <w:pPr>
      <w:pStyle w:val="Stopka"/>
    </w:pPr>
    <w:r>
      <w:rPr>
        <w:noProof/>
      </w:rPr>
      <w:drawing>
        <wp:inline distT="0" distB="0" distL="0" distR="0" wp14:anchorId="564BC4B3">
          <wp:extent cx="6480810" cy="554990"/>
          <wp:effectExtent l="0" t="0" r="0" b="0"/>
          <wp:docPr id="226" name="Obraz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28" name="Obraz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C12">
      <w:rPr>
        <w:noProof/>
      </w:rPr>
      <w:drawing>
        <wp:inline distT="0" distB="0" distL="0" distR="0" wp14:anchorId="60EF485D">
          <wp:extent cx="6480810" cy="554990"/>
          <wp:effectExtent l="0" t="0" r="0" b="0"/>
          <wp:docPr id="229" name="Obraz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AE9" w:rsidRDefault="00D51AE9" w:rsidP="00300F57">
      <w:pPr>
        <w:spacing w:after="0" w:line="240" w:lineRule="auto"/>
      </w:pPr>
      <w:r>
        <w:separator/>
      </w:r>
    </w:p>
  </w:footnote>
  <w:footnote w:type="continuationSeparator" w:id="0">
    <w:p w:rsidR="00D51AE9" w:rsidRDefault="00D51AE9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25" name="Obraz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27" name="Obraz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05E98"/>
    <w:multiLevelType w:val="hybridMultilevel"/>
    <w:tmpl w:val="02BA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10623F"/>
    <w:rsid w:val="0011722C"/>
    <w:rsid w:val="00187096"/>
    <w:rsid w:val="0019124A"/>
    <w:rsid w:val="002B5F76"/>
    <w:rsid w:val="002F3851"/>
    <w:rsid w:val="00300F57"/>
    <w:rsid w:val="00341329"/>
    <w:rsid w:val="00345591"/>
    <w:rsid w:val="003E5362"/>
    <w:rsid w:val="003F1458"/>
    <w:rsid w:val="004446F8"/>
    <w:rsid w:val="0046364C"/>
    <w:rsid w:val="004C4559"/>
    <w:rsid w:val="005131F6"/>
    <w:rsid w:val="0054600E"/>
    <w:rsid w:val="00566263"/>
    <w:rsid w:val="005C3FB4"/>
    <w:rsid w:val="005E0D87"/>
    <w:rsid w:val="00642EF7"/>
    <w:rsid w:val="00665235"/>
    <w:rsid w:val="006B6240"/>
    <w:rsid w:val="007A37E7"/>
    <w:rsid w:val="007E5B73"/>
    <w:rsid w:val="007F32FE"/>
    <w:rsid w:val="008036C6"/>
    <w:rsid w:val="00807BE7"/>
    <w:rsid w:val="0083269A"/>
    <w:rsid w:val="00847ADE"/>
    <w:rsid w:val="008A0C12"/>
    <w:rsid w:val="008C0F0C"/>
    <w:rsid w:val="008D118E"/>
    <w:rsid w:val="008E062C"/>
    <w:rsid w:val="00926E26"/>
    <w:rsid w:val="00933136"/>
    <w:rsid w:val="00972221"/>
    <w:rsid w:val="00982D2D"/>
    <w:rsid w:val="009942D0"/>
    <w:rsid w:val="009E02E5"/>
    <w:rsid w:val="00A20B15"/>
    <w:rsid w:val="00A71B4A"/>
    <w:rsid w:val="00A75CE7"/>
    <w:rsid w:val="00AC72EE"/>
    <w:rsid w:val="00AC7302"/>
    <w:rsid w:val="00AD1397"/>
    <w:rsid w:val="00B86524"/>
    <w:rsid w:val="00BD460A"/>
    <w:rsid w:val="00C05F75"/>
    <w:rsid w:val="00C0747C"/>
    <w:rsid w:val="00C07F8C"/>
    <w:rsid w:val="00C20FC2"/>
    <w:rsid w:val="00C54513"/>
    <w:rsid w:val="00C67276"/>
    <w:rsid w:val="00D05F17"/>
    <w:rsid w:val="00D51AE9"/>
    <w:rsid w:val="00D64405"/>
    <w:rsid w:val="00DA296F"/>
    <w:rsid w:val="00DD3CA6"/>
    <w:rsid w:val="00E23D42"/>
    <w:rsid w:val="00E47C8B"/>
    <w:rsid w:val="00E81B08"/>
    <w:rsid w:val="00EA3CBF"/>
    <w:rsid w:val="00ED1CE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66304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D1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8F6B4A-86FA-4C8C-9BDC-D0163C23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3</cp:revision>
  <cp:lastPrinted>2020-09-17T11:49:00Z</cp:lastPrinted>
  <dcterms:created xsi:type="dcterms:W3CDTF">2020-09-17T11:49:00Z</dcterms:created>
  <dcterms:modified xsi:type="dcterms:W3CDTF">2020-09-17T11:49:00Z</dcterms:modified>
</cp:coreProperties>
</file>